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2EA391A4" w14:textId="77777777" w:rsidR="006424D4" w:rsidRPr="000A6D93" w:rsidRDefault="00E0086F" w:rsidP="006424D4">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w:t>
      </w:r>
      <w:r w:rsidR="006424D4" w:rsidRPr="000A6D93">
        <w:rPr>
          <w:rFonts w:ascii="Arial" w:hAnsi="Arial" w:cs="Arial"/>
        </w:rPr>
        <w:t>úřad pro Ústecký kraj</w:t>
      </w:r>
      <w:r w:rsidR="006424D4" w:rsidRPr="000A6D93">
        <w:rPr>
          <w:rFonts w:ascii="Arial" w:hAnsi="Arial" w:cs="Arial"/>
          <w:snapToGrid w:val="0"/>
        </w:rPr>
        <w:t>,</w:t>
      </w:r>
      <w:r w:rsidR="006424D4" w:rsidRPr="000A6D93">
        <w:rPr>
          <w:rFonts w:ascii="Arial" w:hAnsi="Arial" w:cs="Arial"/>
        </w:rPr>
        <w:t xml:space="preserve"> Pobočka Teplice</w:t>
      </w:r>
      <w:r w:rsidR="006424D4" w:rsidRPr="000A6D93">
        <w:rPr>
          <w:rFonts w:ascii="Arial" w:hAnsi="Arial" w:cs="Arial"/>
          <w:snapToGrid w:val="0"/>
        </w:rPr>
        <w:t>, na adrese Masarykova 2421/66, 415 01 Teplice</w:t>
      </w:r>
      <w:r w:rsidR="006424D4" w:rsidRPr="000A6D93">
        <w:rPr>
          <w:rFonts w:ascii="Arial" w:hAnsi="Arial" w:cs="Arial"/>
        </w:rPr>
        <w:t xml:space="preserve"> </w:t>
      </w:r>
    </w:p>
    <w:p w14:paraId="158CE3B4" w14:textId="77777777" w:rsidR="006424D4" w:rsidRPr="00ED6435" w:rsidRDefault="006424D4" w:rsidP="006424D4">
      <w:pPr>
        <w:spacing w:after="120"/>
        <w:ind w:left="567"/>
        <w:jc w:val="both"/>
        <w:rPr>
          <w:rFonts w:ascii="Arial" w:hAnsi="Arial" w:cs="Arial"/>
        </w:rPr>
      </w:pPr>
      <w:r w:rsidRPr="00ED6435">
        <w:rPr>
          <w:rFonts w:ascii="Arial" w:hAnsi="Arial" w:cs="Arial"/>
        </w:rPr>
        <w:t xml:space="preserve">Zastoupená: </w:t>
      </w:r>
      <w:r>
        <w:rPr>
          <w:rFonts w:ascii="Arial" w:hAnsi="Arial" w:cs="Arial"/>
        </w:rPr>
        <w:t>Ing. Pavlem Pojerem, ředitelem KPÚ pro Ústecký kraj</w:t>
      </w:r>
      <w:r w:rsidRPr="00ED6435">
        <w:rPr>
          <w:rFonts w:ascii="Arial" w:hAnsi="Arial" w:cs="Arial"/>
          <w:iCs/>
        </w:rPr>
        <w:t xml:space="preserve"> </w:t>
      </w:r>
    </w:p>
    <w:p w14:paraId="518A95F5" w14:textId="77777777" w:rsidR="006424D4" w:rsidRPr="00ED6435" w:rsidRDefault="006424D4" w:rsidP="006424D4">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Ing. Pavlem Pojerem, ředitelem KPÚ pro Ústecký kraj</w:t>
      </w:r>
      <w:r w:rsidRPr="00ED6435">
        <w:rPr>
          <w:rFonts w:ascii="Arial" w:hAnsi="Arial" w:cs="Arial"/>
        </w:rPr>
        <w:t xml:space="preserve"> </w:t>
      </w:r>
    </w:p>
    <w:p w14:paraId="778E395E" w14:textId="6514FAED" w:rsidR="006424D4" w:rsidRPr="00ED6435" w:rsidRDefault="006424D4" w:rsidP="006424D4">
      <w:pPr>
        <w:tabs>
          <w:tab w:val="left" w:pos="4536"/>
        </w:tabs>
        <w:spacing w:after="120"/>
        <w:ind w:left="567"/>
        <w:jc w:val="both"/>
        <w:rPr>
          <w:rFonts w:ascii="Arial" w:hAnsi="Arial" w:cs="Arial"/>
        </w:rPr>
      </w:pPr>
      <w:r w:rsidRPr="00ED6435">
        <w:rPr>
          <w:rFonts w:ascii="Arial" w:hAnsi="Arial" w:cs="Arial"/>
        </w:rPr>
        <w:t>V technických záležitostech zastoupená:</w:t>
      </w:r>
      <w:r>
        <w:rPr>
          <w:rFonts w:ascii="Arial" w:hAnsi="Arial" w:cs="Arial"/>
          <w:snapToGrid w:val="0"/>
        </w:rPr>
        <w:t xml:space="preserve"> </w:t>
      </w:r>
      <w:r w:rsidR="003D06F9">
        <w:rPr>
          <w:rFonts w:ascii="Arial" w:hAnsi="Arial" w:cs="Arial"/>
          <w:snapToGrid w:val="0"/>
        </w:rPr>
        <w:t>Hanou Němcovou</w:t>
      </w:r>
      <w:r w:rsidRPr="003D06F9">
        <w:rPr>
          <w:rFonts w:ascii="Arial" w:hAnsi="Arial" w:cs="Arial"/>
        </w:rPr>
        <w:t>, Pobočka Teplice</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FDAFC7A" w14:textId="77777777" w:rsidR="006424D4" w:rsidRPr="00ED6435" w:rsidRDefault="006424D4" w:rsidP="006424D4">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+420 727 956 826</w:t>
      </w:r>
    </w:p>
    <w:p w14:paraId="3F14D01A" w14:textId="77777777" w:rsidR="006424D4" w:rsidRPr="00ED6435" w:rsidRDefault="006424D4" w:rsidP="006424D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teplice.pk@spucr.cz</w:t>
      </w:r>
    </w:p>
    <w:p w14:paraId="4C43EDFB" w14:textId="77777777" w:rsidR="006424D4" w:rsidRDefault="006424D4" w:rsidP="006424D4">
      <w:pPr>
        <w:tabs>
          <w:tab w:val="left" w:pos="4536"/>
        </w:tabs>
        <w:spacing w:after="120"/>
        <w:ind w:left="567"/>
        <w:contextualSpacing/>
        <w:jc w:val="both"/>
        <w:rPr>
          <w:rFonts w:ascii="Arial" w:hAnsi="Arial" w:cs="Arial"/>
        </w:rPr>
      </w:pPr>
      <w:r w:rsidRPr="00ED6435">
        <w:rPr>
          <w:rFonts w:ascii="Arial" w:hAnsi="Arial" w:cs="Arial"/>
        </w:rPr>
        <w:t>ID datové schránky: z49per3</w:t>
      </w:r>
    </w:p>
    <w:p w14:paraId="57187F4C" w14:textId="77777777" w:rsidR="006424D4" w:rsidRDefault="006424D4" w:rsidP="006424D4">
      <w:pPr>
        <w:tabs>
          <w:tab w:val="left" w:pos="4536"/>
        </w:tabs>
        <w:spacing w:after="120"/>
        <w:ind w:left="567"/>
        <w:contextualSpacing/>
        <w:jc w:val="both"/>
        <w:rPr>
          <w:rFonts w:ascii="Arial" w:hAnsi="Arial" w:cs="Arial"/>
        </w:rPr>
      </w:pPr>
    </w:p>
    <w:p w14:paraId="7341B31E" w14:textId="650DA24E" w:rsidR="00E0086F" w:rsidRPr="00ED6435" w:rsidRDefault="00E0086F" w:rsidP="006424D4">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716078D"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00665DE0" w:rsidRPr="00764100">
        <w:rPr>
          <w:rFonts w:ascii="Arial" w:hAnsi="Arial" w:cs="Arial"/>
        </w:rPr>
        <w:t xml:space="preserve">§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006424D4">
        <w:rPr>
          <w:rFonts w:ascii="Arial" w:hAnsi="Arial" w:cs="Arial"/>
        </w:rPr>
        <w:t>JPÚ Žichov, Lužice</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6424D4">
        <w:rPr>
          <w:rFonts w:ascii="Arial" w:hAnsi="Arial" w:cs="Arial"/>
        </w:rPr>
        <w:t xml:space="preserve">jednoduchých </w:t>
      </w:r>
      <w:r w:rsidR="00A35E8F" w:rsidRPr="00764100">
        <w:rPr>
          <w:rFonts w:ascii="Arial" w:hAnsi="Arial" w:cs="Arial"/>
        </w:rPr>
        <w:t>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A3555B0"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 xml:space="preserve">v zadávacím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AECDEB4"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r w:rsidR="00D25791" w:rsidRPr="00D25791">
        <w:rPr>
          <w:rFonts w:ascii="Arial" w:hAnsi="Arial" w:cs="Arial"/>
          <w:b/>
          <w:bCs/>
          <w:szCs w:val="22"/>
        </w:rPr>
        <w:t>„</w:t>
      </w:r>
      <w:r w:rsidR="00162919">
        <w:rPr>
          <w:rFonts w:ascii="Arial" w:hAnsi="Arial" w:cs="Arial"/>
          <w:b/>
          <w:bCs/>
          <w:szCs w:val="22"/>
        </w:rPr>
        <w:t>Jednoduché pozemkové úpravy</w:t>
      </w:r>
      <w:r w:rsidR="00D25791" w:rsidRPr="00D25791">
        <w:rPr>
          <w:rFonts w:ascii="Arial" w:hAnsi="Arial" w:cs="Arial"/>
          <w:b/>
          <w:bCs/>
          <w:szCs w:val="22"/>
        </w:rPr>
        <w:t xml:space="preserve"> Žichov, Lužice</w:t>
      </w:r>
      <w:r w:rsidR="0091239E" w:rsidRPr="00D25791">
        <w:rPr>
          <w:rFonts w:ascii="Arial" w:hAnsi="Arial" w:cs="Arial"/>
          <w:b/>
          <w:bCs/>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40E9E9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D25791">
        <w:rPr>
          <w:rFonts w:ascii="Arial" w:hAnsi="Arial" w:cs="Arial"/>
        </w:rPr>
        <w:t>jednoduchých</w:t>
      </w:r>
      <w:r w:rsidRPr="00ED6435">
        <w:rPr>
          <w:rFonts w:ascii="Arial" w:hAnsi="Arial" w:cs="Arial"/>
        </w:rPr>
        <w:t xml:space="preserve"> pozemkových úprav v</w:t>
      </w:r>
      <w:r w:rsidR="00D25791">
        <w:rPr>
          <w:rFonts w:ascii="Arial" w:hAnsi="Arial" w:cs="Arial"/>
        </w:rPr>
        <w:t xml:space="preserve"> části </w:t>
      </w:r>
      <w:r w:rsidRPr="00ED6435">
        <w:rPr>
          <w:rFonts w:ascii="Arial" w:hAnsi="Arial" w:cs="Arial"/>
        </w:rPr>
        <w:t xml:space="preserve">k. ú. </w:t>
      </w:r>
      <w:r w:rsidR="00D25791">
        <w:rPr>
          <w:rFonts w:ascii="Arial" w:hAnsi="Arial" w:cs="Arial"/>
        </w:rPr>
        <w:t>Žichov a v části k.ú. Lužice</w:t>
      </w:r>
      <w:r w:rsidR="002B735B" w:rsidRPr="00ED6435">
        <w:rPr>
          <w:rFonts w:ascii="Arial" w:hAnsi="Arial" w:cs="Arial"/>
        </w:rPr>
        <w:t>.</w:t>
      </w:r>
      <w:r w:rsidRPr="00ED6435">
        <w:rPr>
          <w:rFonts w:ascii="Arial" w:hAnsi="Arial" w:cs="Arial"/>
        </w:rPr>
        <w:t xml:space="preserve"> („</w:t>
      </w:r>
      <w:r w:rsidR="00D25791">
        <w:rPr>
          <w:rFonts w:ascii="Arial" w:hAnsi="Arial" w:cs="Arial"/>
          <w:b/>
          <w:bCs/>
        </w:rPr>
        <w:t>J</w:t>
      </w:r>
      <w:r w:rsidRPr="00ED6435">
        <w:rPr>
          <w:rFonts w:ascii="Arial" w:hAnsi="Arial" w:cs="Arial"/>
          <w:b/>
          <w:bCs/>
        </w:rPr>
        <w:t>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5BF55C87"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D25791">
        <w:rPr>
          <w:rFonts w:ascii="Arial" w:hAnsi="Arial" w:cs="Arial"/>
        </w:rPr>
        <w:t>J</w:t>
      </w:r>
      <w:r w:rsidRPr="00ED6435">
        <w:rPr>
          <w:rFonts w:ascii="Arial" w:hAnsi="Arial" w:cs="Arial"/>
        </w:rPr>
        <w:t>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lastRenderedPageBreak/>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9B5F52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21CF9">
        <w:rPr>
          <w:rFonts w:ascii="Arial" w:hAnsi="Arial" w:cs="Arial"/>
          <w:szCs w:val="22"/>
        </w:rPr>
        <w:t>Státní pozemkový Úřad, Pobočka Teplice, 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11A951C" w:rsidR="0008597D" w:rsidRPr="009060BB" w:rsidRDefault="00221CF9" w:rsidP="0008597D">
      <w:pPr>
        <w:pStyle w:val="Level2"/>
        <w:spacing w:line="240" w:lineRule="auto"/>
        <w:ind w:left="567" w:hanging="567"/>
        <w:jc w:val="both"/>
        <w:rPr>
          <w:rFonts w:ascii="Arial" w:hAnsi="Arial" w:cs="Arial"/>
          <w:szCs w:val="22"/>
        </w:rPr>
      </w:pPr>
      <w:bookmarkStart w:id="38" w:name="_Ref50747173"/>
      <w:bookmarkStart w:id="39" w:name="_Hlk63750513"/>
      <w:r w:rsidRPr="00221CF9">
        <w:rPr>
          <w:rFonts w:ascii="Arial" w:hAnsi="Arial" w:cs="Arial"/>
          <w:b/>
          <w:bCs/>
        </w:rPr>
        <w:t>NENÍ PŘEDMĚTEM TÉTO SMLOUVY</w:t>
      </w:r>
      <w:r w:rsidR="00162919">
        <w:rPr>
          <w:rFonts w:ascii="Arial" w:hAnsi="Arial" w:cs="Arial"/>
          <w:b/>
          <w:bCs/>
        </w:rPr>
        <w:t>.</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116CBD5" w:rsidR="00B022EF" w:rsidRPr="009060BB" w:rsidRDefault="00221CF9"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3D06F9">
        <w:rPr>
          <w:rFonts w:ascii="Arial" w:hAnsi="Arial" w:cs="Arial"/>
          <w:b/>
          <w:bCs/>
        </w:rPr>
        <w:t>NENÍ PŘEDMĚTEM TÉTO SMLOUVY</w:t>
      </w:r>
      <w:r w:rsidR="00162919">
        <w:rPr>
          <w:rFonts w:ascii="Arial" w:hAnsi="Arial" w:cs="Arial"/>
          <w:b/>
          <w:bCs/>
        </w:rPr>
        <w:t>.</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071A574D" w:rsidR="00B9128B" w:rsidRPr="00764100" w:rsidRDefault="00221CF9" w:rsidP="00024EBF">
      <w:pPr>
        <w:pStyle w:val="Claneka"/>
        <w:keepLines w:val="0"/>
        <w:widowControl/>
        <w:numPr>
          <w:ilvl w:val="4"/>
          <w:numId w:val="36"/>
        </w:numPr>
        <w:spacing w:line="240" w:lineRule="auto"/>
        <w:ind w:left="1985" w:hanging="567"/>
        <w:jc w:val="both"/>
        <w:rPr>
          <w:rFonts w:ascii="Arial" w:hAnsi="Arial" w:cs="Arial"/>
        </w:rPr>
      </w:pPr>
      <w:r w:rsidRPr="00221CF9">
        <w:rPr>
          <w:rFonts w:ascii="Arial" w:hAnsi="Arial" w:cs="Arial"/>
          <w:b/>
          <w:bCs/>
        </w:rPr>
        <w:t>NENÍ PŘEDMĚTEM TÉTO SMLOUVY</w:t>
      </w:r>
      <w:r w:rsidR="00162919">
        <w:rPr>
          <w:rFonts w:ascii="Arial" w:hAnsi="Arial" w:cs="Arial"/>
          <w:b/>
          <w:bCs/>
        </w:rPr>
        <w:t>.</w:t>
      </w:r>
      <w:r>
        <w:rPr>
          <w:rFonts w:ascii="Arial" w:hAnsi="Arial" w:cs="Arial"/>
        </w:rPr>
        <w:t xml:space="preserve"> </w:t>
      </w:r>
      <w:r w:rsidR="00B9128B" w:rsidRPr="00764100">
        <w:rPr>
          <w:rFonts w:ascii="Arial" w:hAnsi="Arial" w:cs="Arial"/>
        </w:rPr>
        <w:t>Revize stávajícího základního polohového bodového pole (</w:t>
      </w:r>
      <w:r w:rsidR="00076C2C" w:rsidRPr="00764100">
        <w:rPr>
          <w:rFonts w:ascii="Arial" w:hAnsi="Arial" w:cs="Arial"/>
        </w:rPr>
        <w:t>„</w:t>
      </w:r>
      <w:r w:rsidR="00B9128B" w:rsidRPr="00764100">
        <w:rPr>
          <w:rFonts w:ascii="Arial" w:hAnsi="Arial" w:cs="Arial"/>
          <w:b/>
          <w:bCs/>
        </w:rPr>
        <w:t>ZPBP</w:t>
      </w:r>
      <w:r w:rsidR="00076C2C" w:rsidRPr="00764100">
        <w:rPr>
          <w:rFonts w:ascii="Arial" w:hAnsi="Arial" w:cs="Arial"/>
        </w:rPr>
        <w:t>“</w:t>
      </w:r>
      <w:r w:rsidR="00B9128B" w:rsidRPr="00764100">
        <w:rPr>
          <w:rFonts w:ascii="Arial" w:hAnsi="Arial" w:cs="Arial"/>
        </w:rPr>
        <w:t xml:space="preserve">), </w:t>
      </w:r>
      <w:r w:rsidR="00B9128B" w:rsidRPr="00764100">
        <w:rPr>
          <w:rFonts w:ascii="Arial" w:hAnsi="Arial" w:cs="Arial"/>
          <w:kern w:val="20"/>
        </w:rPr>
        <w:t>zhušťovacích bodů (</w:t>
      </w:r>
      <w:r w:rsidR="00076C2C" w:rsidRPr="00764100">
        <w:rPr>
          <w:rFonts w:ascii="Arial" w:hAnsi="Arial" w:cs="Arial"/>
          <w:kern w:val="20"/>
        </w:rPr>
        <w:t>„</w:t>
      </w:r>
      <w:proofErr w:type="spellStart"/>
      <w:r w:rsidR="00B9128B" w:rsidRPr="00764100">
        <w:rPr>
          <w:rFonts w:ascii="Arial" w:hAnsi="Arial" w:cs="Arial"/>
          <w:b/>
          <w:bCs/>
          <w:kern w:val="20"/>
        </w:rPr>
        <w:t>ZhB</w:t>
      </w:r>
      <w:proofErr w:type="spellEnd"/>
      <w:r w:rsidR="00076C2C" w:rsidRPr="00764100">
        <w:rPr>
          <w:rFonts w:ascii="Arial" w:hAnsi="Arial" w:cs="Arial"/>
          <w:kern w:val="20"/>
        </w:rPr>
        <w:t>“</w:t>
      </w:r>
      <w:r w:rsidR="00B9128B" w:rsidRPr="00764100">
        <w:rPr>
          <w:rFonts w:ascii="Arial" w:hAnsi="Arial" w:cs="Arial"/>
          <w:kern w:val="20"/>
        </w:rPr>
        <w:t xml:space="preserve">) a podrobného </w:t>
      </w:r>
      <w:r w:rsidR="00B9128B" w:rsidRPr="00764100">
        <w:rPr>
          <w:rFonts w:ascii="Arial" w:hAnsi="Arial" w:cs="Arial"/>
          <w:kern w:val="20"/>
        </w:rPr>
        <w:lastRenderedPageBreak/>
        <w:t>polohového bodového pole („</w:t>
      </w:r>
      <w:r w:rsidR="00B9128B" w:rsidRPr="00764100">
        <w:rPr>
          <w:rFonts w:ascii="Arial" w:hAnsi="Arial" w:cs="Arial"/>
          <w:b/>
          <w:bCs/>
          <w:kern w:val="20"/>
        </w:rPr>
        <w:t>PPBP</w:t>
      </w:r>
      <w:r w:rsidR="00B9128B" w:rsidRPr="00764100">
        <w:rPr>
          <w:rFonts w:ascii="Arial" w:hAnsi="Arial" w:cs="Arial"/>
          <w:kern w:val="20"/>
        </w:rPr>
        <w:t>“)</w:t>
      </w:r>
      <w:r w:rsidR="00B9128B"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0C3352F5" w:rsidR="00B9128B" w:rsidRPr="00764100" w:rsidRDefault="00221CF9" w:rsidP="00024EBF">
      <w:pPr>
        <w:pStyle w:val="Claneka"/>
        <w:keepLines w:val="0"/>
        <w:widowControl/>
        <w:numPr>
          <w:ilvl w:val="4"/>
          <w:numId w:val="36"/>
        </w:numPr>
        <w:spacing w:line="240" w:lineRule="auto"/>
        <w:ind w:left="1985" w:hanging="567"/>
        <w:jc w:val="both"/>
        <w:rPr>
          <w:rFonts w:ascii="Arial" w:hAnsi="Arial" w:cs="Arial"/>
        </w:rPr>
      </w:pPr>
      <w:r w:rsidRPr="00221CF9">
        <w:rPr>
          <w:rFonts w:ascii="Arial" w:hAnsi="Arial" w:cs="Arial"/>
          <w:b/>
          <w:bCs/>
        </w:rPr>
        <w:t>NENÍ PŘEDMĚTEM TÉTO SMLOUVY</w:t>
      </w:r>
      <w:r w:rsidR="00162919">
        <w:rPr>
          <w:rFonts w:ascii="Arial" w:hAnsi="Arial" w:cs="Arial"/>
          <w:b/>
          <w:bCs/>
        </w:rPr>
        <w:t>.</w:t>
      </w:r>
      <w:r>
        <w:rPr>
          <w:rFonts w:ascii="Arial" w:hAnsi="Arial" w:cs="Arial"/>
        </w:rPr>
        <w:t xml:space="preserve"> </w:t>
      </w:r>
      <w:r w:rsidR="00B9128B"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73631D7D"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942C02">
        <w:rPr>
          <w:rFonts w:ascii="Arial" w:hAnsi="Arial" w:cs="Arial"/>
          <w:szCs w:val="22"/>
        </w:rPr>
        <w:t>J</w:t>
      </w:r>
      <w:r w:rsidRPr="00764100">
        <w:rPr>
          <w:rFonts w:ascii="Arial" w:hAnsi="Arial" w:cs="Arial"/>
          <w:szCs w:val="22"/>
        </w:rPr>
        <w:t>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45B3BBA"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764100">
        <w:rPr>
          <w:rFonts w:ascii="Arial" w:hAnsi="Arial" w:cs="Arial"/>
          <w:szCs w:val="22"/>
        </w:rPr>
        <w:t>Vektorizace vlastnické mapy</w:t>
      </w:r>
      <w:bookmarkEnd w:id="61"/>
    </w:p>
    <w:p w14:paraId="2B0F2424" w14:textId="2C257033" w:rsidR="00CF4F60" w:rsidRPr="00764100" w:rsidRDefault="00942C02" w:rsidP="00CF4F60">
      <w:pPr>
        <w:pStyle w:val="Level3"/>
        <w:numPr>
          <w:ilvl w:val="0"/>
          <w:numId w:val="0"/>
        </w:numPr>
        <w:ind w:left="1418"/>
        <w:jc w:val="both"/>
        <w:rPr>
          <w:rFonts w:ascii="Arial" w:hAnsi="Arial" w:cs="Arial"/>
          <w:szCs w:val="22"/>
        </w:rPr>
      </w:pPr>
      <w:r w:rsidRPr="00942C02">
        <w:rPr>
          <w:rFonts w:ascii="Arial" w:hAnsi="Arial" w:cs="Arial"/>
          <w:b/>
          <w:bCs/>
          <w:szCs w:val="22"/>
        </w:rPr>
        <w:t>NENÍ PŘEDMĚTEM TÉTO SMLOUVY</w:t>
      </w:r>
      <w:r w:rsidR="00162919">
        <w:rPr>
          <w:rFonts w:ascii="Arial" w:hAnsi="Arial" w:cs="Arial"/>
          <w:b/>
          <w:bCs/>
          <w:szCs w:val="22"/>
        </w:rPr>
        <w:t>.</w:t>
      </w:r>
      <w:r>
        <w:rPr>
          <w:rFonts w:ascii="Arial" w:hAnsi="Arial" w:cs="Arial"/>
          <w:szCs w:val="22"/>
        </w:rPr>
        <w:t xml:space="preserve"> </w:t>
      </w:r>
      <w:r w:rsidR="00CF4F60" w:rsidRPr="00764100" w:rsidDel="006B518C">
        <w:rPr>
          <w:rFonts w:ascii="Arial" w:hAnsi="Arial" w:cs="Arial"/>
          <w:szCs w:val="22"/>
        </w:rPr>
        <w:t>Vektorizace vlastnické mapy v potřebném rozsahu (neprovádí se v k. ú., kde existuje digitální katastrální mapa („</w:t>
      </w:r>
      <w:r w:rsidR="00CF4F60" w:rsidRPr="00764100" w:rsidDel="006B518C">
        <w:rPr>
          <w:rFonts w:ascii="Arial" w:hAnsi="Arial" w:cs="Arial"/>
          <w:b/>
          <w:szCs w:val="22"/>
        </w:rPr>
        <w:t>DKM</w:t>
      </w:r>
      <w:r w:rsidR="00CF4F60" w:rsidRPr="00764100" w:rsidDel="006B518C">
        <w:rPr>
          <w:rFonts w:ascii="Arial" w:hAnsi="Arial" w:cs="Arial"/>
          <w:szCs w:val="22"/>
        </w:rPr>
        <w:t>“),</w:t>
      </w:r>
      <w:r w:rsidR="00CF4F60" w:rsidRPr="00764100" w:rsidDel="006B518C">
        <w:rPr>
          <w:rFonts w:ascii="Arial" w:hAnsi="Arial" w:cs="Arial"/>
          <w:b/>
          <w:szCs w:val="22"/>
        </w:rPr>
        <w:t xml:space="preserve"> </w:t>
      </w:r>
      <w:r w:rsidR="00CF4F60" w:rsidRPr="00764100" w:rsidDel="006B518C">
        <w:rPr>
          <w:rFonts w:ascii="Arial" w:hAnsi="Arial" w:cs="Arial"/>
          <w:szCs w:val="22"/>
        </w:rPr>
        <w:t>katastrální mapa – digitalizovaná</w:t>
      </w:r>
      <w:r w:rsidR="00CF4F60" w:rsidRPr="00764100" w:rsidDel="006B518C">
        <w:rPr>
          <w:rFonts w:ascii="Arial" w:hAnsi="Arial" w:cs="Arial"/>
          <w:b/>
          <w:szCs w:val="22"/>
        </w:rPr>
        <w:t xml:space="preserve"> </w:t>
      </w:r>
      <w:r w:rsidR="00CF4F60" w:rsidRPr="00764100" w:rsidDel="006B518C">
        <w:rPr>
          <w:rFonts w:ascii="Arial" w:hAnsi="Arial" w:cs="Arial"/>
          <w:szCs w:val="22"/>
        </w:rPr>
        <w:t>(„</w:t>
      </w:r>
      <w:r w:rsidR="00CF4F60" w:rsidRPr="00764100" w:rsidDel="006B518C">
        <w:rPr>
          <w:rFonts w:ascii="Arial" w:hAnsi="Arial" w:cs="Arial"/>
          <w:b/>
          <w:bCs/>
          <w:szCs w:val="22"/>
        </w:rPr>
        <w:t>KM-D</w:t>
      </w:r>
      <w:r w:rsidR="00CF4F60" w:rsidRPr="00764100" w:rsidDel="006B518C">
        <w:rPr>
          <w:rFonts w:ascii="Arial" w:hAnsi="Arial" w:cs="Arial"/>
          <w:szCs w:val="22"/>
        </w:rPr>
        <w:t>“) a katastrální mapa digitalizovaná („</w:t>
      </w:r>
      <w:r w:rsidR="00CF4F60" w:rsidRPr="00764100" w:rsidDel="006B518C">
        <w:rPr>
          <w:rFonts w:ascii="Arial" w:hAnsi="Arial" w:cs="Arial"/>
          <w:b/>
          <w:bCs/>
          <w:szCs w:val="22"/>
        </w:rPr>
        <w:t>KMD</w:t>
      </w:r>
      <w:r w:rsidR="00CF4F60" w:rsidRPr="00764100" w:rsidDel="006B518C">
        <w:rPr>
          <w:rFonts w:ascii="Arial" w:hAnsi="Arial" w:cs="Arial"/>
          <w:szCs w:val="22"/>
        </w:rPr>
        <w:t>“) nebo kde je již zpracovaná);</w:t>
      </w:r>
    </w:p>
    <w:p w14:paraId="3F1647C5" w14:textId="7DCAAB2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942C02">
        <w:rPr>
          <w:rFonts w:ascii="Arial" w:hAnsi="Arial" w:cs="Arial"/>
          <w:szCs w:val="22"/>
        </w:rPr>
        <w:t>J</w:t>
      </w:r>
      <w:r w:rsidRPr="00764100">
        <w:rPr>
          <w:rFonts w:ascii="Arial" w:hAnsi="Arial" w:cs="Arial"/>
          <w:szCs w:val="22"/>
        </w:rPr>
        <w:t>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3FAAF65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942C02">
        <w:rPr>
          <w:rFonts w:ascii="Arial" w:hAnsi="Arial" w:cs="Arial"/>
        </w:rPr>
        <w:t>J</w:t>
      </w:r>
      <w:r w:rsidRPr="00764100">
        <w:rPr>
          <w:rFonts w:ascii="Arial" w:hAnsi="Arial" w:cs="Arial"/>
        </w:rPr>
        <w:t>PÚ,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942C02">
        <w:rPr>
          <w:rFonts w:ascii="Arial" w:hAnsi="Arial" w:cs="Arial"/>
        </w:rPr>
        <w:t>J</w:t>
      </w:r>
      <w:r w:rsidRPr="00764100">
        <w:rPr>
          <w:rFonts w:ascii="Arial" w:hAnsi="Arial" w:cs="Arial"/>
        </w:rPr>
        <w:t>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68151D5"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r w:rsidR="00942C02">
        <w:rPr>
          <w:rFonts w:ascii="Arial" w:hAnsi="Arial" w:cs="Arial"/>
          <w:szCs w:val="22"/>
        </w:rPr>
        <w:t>J</w:t>
      </w:r>
      <w:r w:rsidRPr="00764100">
        <w:rPr>
          <w:rFonts w:ascii="Arial" w:hAnsi="Arial" w:cs="Arial"/>
          <w:szCs w:val="22"/>
        </w:rPr>
        <w:t>PÚ</w:t>
      </w:r>
      <w:bookmarkEnd w:id="67"/>
      <w:r w:rsidRPr="00764100">
        <w:rPr>
          <w:rFonts w:ascii="Arial" w:hAnsi="Arial" w:cs="Arial"/>
          <w:szCs w:val="22"/>
        </w:rPr>
        <w:t xml:space="preserve"> </w:t>
      </w:r>
    </w:p>
    <w:p w14:paraId="00BC4C2C" w14:textId="774BD92E" w:rsidR="00F821DF" w:rsidRPr="00764100" w:rsidRDefault="003D06F9" w:rsidP="5784E4A4">
      <w:pPr>
        <w:pStyle w:val="Claneka"/>
        <w:keepNext/>
        <w:keepLines w:val="0"/>
        <w:widowControl/>
        <w:numPr>
          <w:ilvl w:val="2"/>
          <w:numId w:val="0"/>
        </w:numPr>
        <w:spacing w:line="240" w:lineRule="auto"/>
        <w:ind w:left="1418"/>
        <w:jc w:val="both"/>
        <w:rPr>
          <w:rFonts w:ascii="Arial" w:hAnsi="Arial" w:cs="Arial"/>
        </w:rPr>
      </w:pPr>
      <w:r w:rsidRPr="00942C02">
        <w:rPr>
          <w:rFonts w:ascii="Arial" w:hAnsi="Arial" w:cs="Arial"/>
          <w:b/>
          <w:bCs/>
        </w:rPr>
        <w:t>NENÍ PŘEDMĚTEM TÉTO SMLOUVY</w:t>
      </w:r>
      <w:r w:rsidR="00162919">
        <w:rPr>
          <w:rFonts w:ascii="Arial" w:hAnsi="Arial" w:cs="Arial"/>
          <w:b/>
          <w:bCs/>
        </w:rPr>
        <w:t>.</w:t>
      </w:r>
      <w:r>
        <w:rPr>
          <w:rFonts w:ascii="Arial" w:hAnsi="Arial" w:cs="Arial"/>
        </w:rPr>
        <w:t xml:space="preserve"> </w:t>
      </w:r>
      <w:r w:rsidR="00F821DF" w:rsidRPr="003D06F9">
        <w:rPr>
          <w:rFonts w:ascii="Arial" w:hAnsi="Arial" w:cs="Arial"/>
        </w:rPr>
        <w:t>Šetření průběhu vlastnických hranic řešených pozemků s porosty podle § 8 odst. 6 Zákona v terénu</w:t>
      </w:r>
      <w:r w:rsidR="00F821DF" w:rsidRPr="00764100">
        <w:rPr>
          <w:rFonts w:ascii="Arial" w:hAnsi="Arial" w:cs="Arial"/>
        </w:rPr>
        <w:t xml:space="preserve">.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00F821DF" w:rsidRPr="00764100">
        <w:rPr>
          <w:rFonts w:ascii="Arial" w:hAnsi="Arial" w:cs="Arial"/>
        </w:rPr>
        <w:t xml:space="preserve">Zhotovitelem označeny </w:t>
      </w:r>
      <w:r w:rsidR="001B085F" w:rsidRPr="00764100">
        <w:rPr>
          <w:rFonts w:ascii="Arial" w:hAnsi="Arial" w:cs="Arial"/>
        </w:rPr>
        <w:t xml:space="preserve">dočasným způsobem </w:t>
      </w:r>
      <w:r w:rsidR="00F821DF"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00F821DF"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 xml:space="preserve">v souladu s požadavky </w:t>
      </w:r>
      <w:r w:rsidRPr="00764100">
        <w:rPr>
          <w:rFonts w:ascii="Arial" w:hAnsi="Arial" w:cs="Arial"/>
        </w:rPr>
        <w:lastRenderedPageBreak/>
        <w:t>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lastRenderedPageBreak/>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lastRenderedPageBreak/>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w:t>
      </w:r>
      <w:r w:rsidRPr="00764100">
        <w:rPr>
          <w:rFonts w:ascii="Arial" w:hAnsi="Arial" w:cs="Arial"/>
        </w:rPr>
        <w:lastRenderedPageBreak/>
        <w:t>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DECC24A"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942C02">
        <w:rPr>
          <w:rFonts w:ascii="Arial" w:hAnsi="Arial" w:cs="Arial"/>
          <w:szCs w:val="22"/>
        </w:rPr>
        <w:t>J</w:t>
      </w:r>
      <w:r w:rsidRPr="00764100">
        <w:rPr>
          <w:rFonts w:ascii="Arial" w:hAnsi="Arial" w:cs="Arial"/>
          <w:szCs w:val="22"/>
        </w:rPr>
        <w:t xml:space="preserve">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942C02">
        <w:rPr>
          <w:rFonts w:ascii="Arial" w:hAnsi="Arial" w:cs="Arial"/>
          <w:szCs w:val="22"/>
        </w:rPr>
        <w:t>J</w:t>
      </w:r>
      <w:r w:rsidRPr="00764100">
        <w:rPr>
          <w:rFonts w:ascii="Arial" w:hAnsi="Arial" w:cs="Arial"/>
          <w:szCs w:val="22"/>
        </w:rPr>
        <w:t>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7A60FD92"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942C02">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06044CAF"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r w:rsidR="00942C02">
        <w:rPr>
          <w:rFonts w:ascii="Arial" w:hAnsi="Arial" w:cs="Arial"/>
        </w:rPr>
        <w:t>J</w:t>
      </w:r>
      <w:r w:rsidRPr="00EE517F">
        <w:rPr>
          <w:rFonts w:ascii="Arial" w:hAnsi="Arial" w:cs="Arial"/>
        </w:rPr>
        <w:t xml:space="preserve">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77A77E3"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942C02">
        <w:rPr>
          <w:rFonts w:ascii="Arial" w:hAnsi="Arial" w:cs="Arial"/>
        </w:rPr>
        <w:t>J</w:t>
      </w:r>
      <w:r w:rsidRPr="00EE517F">
        <w:rPr>
          <w:rFonts w:ascii="Arial" w:hAnsi="Arial" w:cs="Arial"/>
        </w:rPr>
        <w:t xml:space="preserve">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50AAB5A2"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r w:rsidR="00942C02">
        <w:rPr>
          <w:rFonts w:ascii="Arial" w:hAnsi="Arial" w:cs="Arial"/>
        </w:rPr>
        <w:t>J</w:t>
      </w:r>
      <w:r w:rsidRPr="00EE517F">
        <w:rPr>
          <w:rFonts w:ascii="Arial" w:hAnsi="Arial" w:cs="Arial"/>
        </w:rPr>
        <w:t xml:space="preserve">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4BC093E7"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942C02">
        <w:rPr>
          <w:rFonts w:ascii="Arial" w:hAnsi="Arial" w:cs="Arial"/>
        </w:rPr>
        <w:t>5</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w:t>
      </w:r>
      <w:r w:rsidR="00942C02">
        <w:rPr>
          <w:rFonts w:ascii="Arial" w:hAnsi="Arial" w:cs="Arial"/>
        </w:rPr>
        <w:t>ým</w:t>
      </w:r>
      <w:r w:rsidRPr="00EE517F">
        <w:rPr>
          <w:rFonts w:ascii="Arial" w:hAnsi="Arial" w:cs="Arial"/>
        </w:rPr>
        <w:t xml:space="preserve"> obc</w:t>
      </w:r>
      <w:r w:rsidR="00093750">
        <w:rPr>
          <w:rFonts w:ascii="Arial" w:hAnsi="Arial" w:cs="Arial"/>
        </w:rPr>
        <w:t>ím</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61B54D04"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093750">
        <w:rPr>
          <w:rFonts w:ascii="Arial" w:hAnsi="Arial" w:cs="Arial"/>
        </w:rPr>
        <w:t>3</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00093750">
        <w:rPr>
          <w:rFonts w:ascii="Arial" w:hAnsi="Arial" w:cs="Arial"/>
        </w:rPr>
        <w:t xml:space="preserve">každé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1A4E6436"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lastRenderedPageBreak/>
        <w:t xml:space="preserve">Vypracování dokumentace technického řešení </w:t>
      </w:r>
      <w:r w:rsidR="00687085" w:rsidRPr="00EE517F">
        <w:rPr>
          <w:rFonts w:ascii="Arial" w:hAnsi="Arial" w:cs="Arial"/>
        </w:rPr>
        <w:t>–</w:t>
      </w:r>
      <w:r w:rsidRPr="00EE517F">
        <w:rPr>
          <w:rFonts w:ascii="Arial" w:hAnsi="Arial" w:cs="Arial"/>
        </w:rPr>
        <w:t xml:space="preserve"> </w:t>
      </w:r>
      <w:r w:rsidR="00093750">
        <w:rPr>
          <w:rFonts w:ascii="Arial" w:hAnsi="Arial" w:cs="Arial"/>
        </w:rPr>
        <w:t>3</w:t>
      </w:r>
      <w:r w:rsidRPr="00EE517F">
        <w:rPr>
          <w:rFonts w:ascii="Arial" w:hAnsi="Arial" w:cs="Arial"/>
        </w:rPr>
        <w:t xml:space="preserve">x listinné </w:t>
      </w:r>
      <w:r w:rsidR="00093750">
        <w:rPr>
          <w:rFonts w:ascii="Arial" w:hAnsi="Arial" w:cs="Arial"/>
        </w:rPr>
        <w:t xml:space="preserve">vyhotovení určené 1x Objednateli a 1x každé příslušné obci </w:t>
      </w:r>
      <w:r w:rsidRPr="00EE517F">
        <w:rPr>
          <w:rFonts w:ascii="Arial" w:hAnsi="Arial" w:cs="Arial"/>
        </w:rPr>
        <w:t>a digitální vyhotovení určené Objednateli;</w:t>
      </w:r>
    </w:p>
    <w:p w14:paraId="3349587E" w14:textId="76D4E43A"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093750">
        <w:rPr>
          <w:rFonts w:ascii="Arial" w:hAnsi="Arial" w:cs="Arial"/>
        </w:rPr>
        <w:t>3</w:t>
      </w:r>
      <w:r w:rsidRPr="00EE517F">
        <w:rPr>
          <w:rFonts w:ascii="Arial" w:hAnsi="Arial" w:cs="Arial"/>
        </w:rPr>
        <w:t xml:space="preserve">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00093750">
        <w:rPr>
          <w:rFonts w:ascii="Arial" w:hAnsi="Arial" w:cs="Arial"/>
        </w:rPr>
        <w:t xml:space="preserve">každé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3CA1E906"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E00CFF">
        <w:rPr>
          <w:rFonts w:ascii="Arial" w:hAnsi="Arial" w:cs="Arial"/>
        </w:rPr>
        <w:t>3</w:t>
      </w:r>
      <w:r w:rsidR="00BA3FD7" w:rsidRPr="00EE517F">
        <w:rPr>
          <w:rFonts w:ascii="Arial" w:hAnsi="Arial" w:cs="Arial"/>
        </w:rPr>
        <w:t>x listinné vyhotovení mapy určené Objednateli</w:t>
      </w:r>
      <w:r w:rsidR="00E00CFF">
        <w:rPr>
          <w:rFonts w:ascii="Arial" w:hAnsi="Arial" w:cs="Arial"/>
        </w:rPr>
        <w:t xml:space="preserve"> a 1x každé příslušné obci</w:t>
      </w:r>
      <w:r w:rsidR="007F408F" w:rsidRPr="00EE517F">
        <w:rPr>
          <w:rFonts w:ascii="Arial" w:hAnsi="Arial" w:cs="Arial"/>
        </w:rPr>
        <w:t>;</w:t>
      </w:r>
      <w:r w:rsidR="00E00CFF">
        <w:rPr>
          <w:rFonts w:ascii="Arial" w:hAnsi="Arial" w:cs="Arial"/>
        </w:rPr>
        <w:t xml:space="preserve"> </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4AFA1A71"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E00CFF">
        <w:rPr>
          <w:rFonts w:ascii="Arial" w:hAnsi="Arial" w:cs="Arial"/>
        </w:rPr>
        <w:t>3</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w:t>
      </w:r>
      <w:r w:rsidR="00E00CFF">
        <w:rPr>
          <w:rFonts w:ascii="Arial" w:hAnsi="Arial" w:cs="Arial"/>
        </w:rPr>
        <w:t xml:space="preserve">každé </w:t>
      </w:r>
      <w:r w:rsidRPr="00EE517F">
        <w:rPr>
          <w:rFonts w:ascii="Arial" w:hAnsi="Arial" w:cs="Arial"/>
        </w:rPr>
        <w:t>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12512D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E00CFF">
        <w:rPr>
          <w:rFonts w:ascii="Arial" w:hAnsi="Arial" w:cs="Arial"/>
        </w:rPr>
        <w:t>3</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00E00CFF">
        <w:rPr>
          <w:rFonts w:ascii="Arial" w:hAnsi="Arial" w:cs="Arial"/>
        </w:rPr>
        <w:t xml:space="preserve">každé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CED064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3D06F9" w:rsidRPr="003D06F9">
        <w:rPr>
          <w:rFonts w:ascii="Arial" w:hAnsi="Arial" w:cs="Arial"/>
        </w:rPr>
        <w:t>5</w:t>
      </w:r>
      <w:r w:rsidRPr="003D06F9">
        <w:rPr>
          <w:rFonts w:ascii="Arial" w:hAnsi="Arial" w:cs="Arial"/>
        </w:rPr>
        <w:t>x listinné</w:t>
      </w:r>
      <w:r w:rsidRPr="00EE517F">
        <w:rPr>
          <w:rFonts w:ascii="Arial" w:hAnsi="Arial" w:cs="Arial"/>
        </w:rPr>
        <w:t xml:space="preserve">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 xml:space="preserve">1x </w:t>
      </w:r>
      <w:r w:rsidR="00E00CFF">
        <w:rPr>
          <w:rFonts w:ascii="Arial" w:hAnsi="Arial" w:cs="Arial"/>
        </w:rPr>
        <w:t xml:space="preserve">každé </w:t>
      </w:r>
      <w:r w:rsidR="000A684E" w:rsidRPr="00EE517F">
        <w:rPr>
          <w:rFonts w:ascii="Arial" w:hAnsi="Arial" w:cs="Arial"/>
        </w:rPr>
        <w:t>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 xml:space="preserve">pojištění </w:t>
      </w:r>
      <w:r w:rsidR="00B77593" w:rsidRPr="00764100">
        <w:rPr>
          <w:rFonts w:ascii="Arial" w:hAnsi="Arial" w:cs="Arial"/>
          <w:szCs w:val="22"/>
        </w:rPr>
        <w:lastRenderedPageBreak/>
        <w:t>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374CC72"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w:t>
      </w:r>
      <w:commentRangeStart w:id="109"/>
      <w:r w:rsidR="00127C34" w:rsidRPr="00C62699">
        <w:rPr>
          <w:rFonts w:ascii="Arial" w:hAnsi="Arial" w:cs="Arial"/>
          <w:szCs w:val="22"/>
        </w:rPr>
        <w:t>Krajského pozemkového úřadu</w:t>
      </w:r>
      <w:r w:rsidR="00BA0402">
        <w:rPr>
          <w:rFonts w:ascii="Arial" w:hAnsi="Arial" w:cs="Arial"/>
          <w:szCs w:val="22"/>
        </w:rPr>
        <w:t xml:space="preserve"> pro Ústecký kraj</w:t>
      </w:r>
      <w:commentRangeEnd w:id="109"/>
      <w:r w:rsidR="00F931B2">
        <w:rPr>
          <w:rStyle w:val="Odkaznakoment"/>
          <w:snapToGrid/>
          <w:kern w:val="2"/>
        </w:rPr>
        <w:commentReference w:id="109"/>
      </w:r>
      <w:r w:rsidR="00127C34" w:rsidRPr="00C62699">
        <w:rPr>
          <w:rFonts w:ascii="Arial" w:hAnsi="Arial" w:cs="Arial"/>
          <w:szCs w:val="22"/>
        </w:rPr>
        <w:t>, Pobočky</w:t>
      </w:r>
      <w:r w:rsidR="00BA0402">
        <w:rPr>
          <w:rFonts w:ascii="Arial" w:hAnsi="Arial" w:cs="Arial"/>
          <w:szCs w:val="22"/>
        </w:rPr>
        <w:t xml:space="preserve"> Teplice</w:t>
      </w:r>
      <w:r w:rsidR="00127C34" w:rsidRPr="00C62699">
        <w:rPr>
          <w:rFonts w:ascii="Arial" w:hAnsi="Arial" w:cs="Arial"/>
          <w:szCs w:val="22"/>
        </w:rPr>
        <w:t>, adresa</w:t>
      </w:r>
      <w:r w:rsidR="00BA0402">
        <w:rPr>
          <w:rFonts w:ascii="Arial" w:hAnsi="Arial" w:cs="Arial"/>
          <w:szCs w:val="22"/>
        </w:rPr>
        <w:t xml:space="preserve"> Masarykova 2421/66, 415 01 Teplice</w:t>
      </w:r>
      <w:r w:rsidR="004C712A" w:rsidRPr="00C62699">
        <w:rPr>
          <w:rFonts w:ascii="Arial" w:hAnsi="Arial" w:cs="Arial"/>
          <w:szCs w:val="22"/>
        </w:rPr>
        <w:t xml:space="preserve">. O </w:t>
      </w:r>
      <w:r w:rsidR="004C712A" w:rsidRPr="00C62699">
        <w:rPr>
          <w:rFonts w:ascii="Arial" w:hAnsi="Arial" w:cs="Arial"/>
          <w:szCs w:val="22"/>
        </w:rPr>
        <w:lastRenderedPageBreak/>
        <w:t>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2"/>
      <w:bookmarkEnd w:id="113"/>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0C69B8DF" w:rsidR="00F87D91" w:rsidRPr="00764100" w:rsidRDefault="00BA0402" w:rsidP="00024EBF">
      <w:pPr>
        <w:pStyle w:val="Level4"/>
        <w:numPr>
          <w:ilvl w:val="0"/>
          <w:numId w:val="17"/>
        </w:numPr>
        <w:spacing w:line="240" w:lineRule="auto"/>
        <w:ind w:left="1134" w:hanging="567"/>
        <w:jc w:val="both"/>
        <w:rPr>
          <w:rFonts w:ascii="Arial" w:hAnsi="Arial" w:cs="Arial"/>
          <w:szCs w:val="22"/>
        </w:rPr>
      </w:pPr>
      <w:r w:rsidRPr="00BA0402">
        <w:rPr>
          <w:rFonts w:ascii="Arial" w:hAnsi="Arial" w:cs="Arial"/>
          <w:b/>
          <w:bCs/>
          <w:szCs w:val="22"/>
        </w:rPr>
        <w:t>NENÍ PŘEDMĚTEM TÉTO SMLOUVY</w:t>
      </w:r>
      <w:r>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3216445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BA0402">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26C5F07" w:rsidR="001C4DD2" w:rsidRPr="00764100" w:rsidRDefault="00BA0402" w:rsidP="00024EBF">
      <w:pPr>
        <w:pStyle w:val="Level4"/>
        <w:numPr>
          <w:ilvl w:val="0"/>
          <w:numId w:val="17"/>
        </w:numPr>
        <w:spacing w:line="240" w:lineRule="auto"/>
        <w:ind w:left="1134" w:hanging="567"/>
        <w:jc w:val="both"/>
        <w:rPr>
          <w:rFonts w:ascii="Arial" w:hAnsi="Arial" w:cs="Arial"/>
          <w:szCs w:val="22"/>
        </w:rPr>
      </w:pPr>
      <w:r w:rsidRPr="00BA0402">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22CCEC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BA0402">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6723E1B8" w:rsidR="0090447A" w:rsidRPr="00764100" w:rsidRDefault="003D06F9" w:rsidP="00024EBF">
      <w:pPr>
        <w:pStyle w:val="Level4"/>
        <w:numPr>
          <w:ilvl w:val="0"/>
          <w:numId w:val="17"/>
        </w:numPr>
        <w:spacing w:line="240" w:lineRule="auto"/>
        <w:ind w:left="1134" w:hanging="567"/>
        <w:jc w:val="both"/>
        <w:rPr>
          <w:rFonts w:ascii="Arial" w:hAnsi="Arial" w:cs="Arial"/>
          <w:szCs w:val="22"/>
        </w:rPr>
      </w:pPr>
      <w:r w:rsidRPr="00BA0402">
        <w:rPr>
          <w:rFonts w:ascii="Arial" w:hAnsi="Arial" w:cs="Arial"/>
          <w:b/>
          <w:bCs/>
          <w:szCs w:val="22"/>
        </w:rPr>
        <w:t>NENÍ PŘEDMĚTEM TÉTO SMLOUVY</w:t>
      </w:r>
      <w:r>
        <w:rPr>
          <w:rFonts w:ascii="Arial" w:hAnsi="Arial" w:cs="Arial"/>
          <w:szCs w:val="22"/>
        </w:rPr>
        <w:t xml:space="preserve"> </w:t>
      </w:r>
      <w:r w:rsidR="0090447A" w:rsidRPr="003D06F9">
        <w:rPr>
          <w:rFonts w:ascii="Arial" w:hAnsi="Arial" w:cs="Arial"/>
          <w:szCs w:val="22"/>
        </w:rPr>
        <w:t xml:space="preserve">u dílčí části </w:t>
      </w:r>
      <w:r w:rsidR="004935D3" w:rsidRPr="003D06F9">
        <w:rPr>
          <w:rFonts w:ascii="Arial" w:hAnsi="Arial" w:cs="Arial"/>
          <w:szCs w:val="22"/>
        </w:rPr>
        <w:t>Hlavního celku</w:t>
      </w:r>
      <w:r w:rsidR="0090447A" w:rsidRPr="003D06F9">
        <w:rPr>
          <w:rFonts w:ascii="Arial" w:hAnsi="Arial" w:cs="Arial"/>
          <w:szCs w:val="22"/>
        </w:rPr>
        <w:t xml:space="preserve"> dle čl. </w:t>
      </w:r>
      <w:r w:rsidR="00E94BEA" w:rsidRPr="003D06F9">
        <w:rPr>
          <w:rFonts w:ascii="Arial" w:hAnsi="Arial" w:cs="Arial"/>
          <w:szCs w:val="22"/>
        </w:rPr>
        <w:t xml:space="preserve">6.2.6 </w:t>
      </w:r>
      <w:r w:rsidR="0090447A" w:rsidRPr="003D06F9">
        <w:rPr>
          <w:rFonts w:ascii="Arial" w:hAnsi="Arial" w:cs="Arial"/>
          <w:szCs w:val="22"/>
        </w:rPr>
        <w:t>(</w:t>
      </w:r>
      <w:r w:rsidR="0090447A" w:rsidRPr="003D06F9">
        <w:rPr>
          <w:rFonts w:ascii="Arial" w:hAnsi="Arial" w:cs="Arial"/>
          <w:b/>
          <w:bCs/>
          <w:szCs w:val="22"/>
        </w:rPr>
        <w:t xml:space="preserve">Šetření průběhu vlastnických hranic řešených pozemků s porosty pro účely návrhu </w:t>
      </w:r>
      <w:r w:rsidR="00BA0402" w:rsidRPr="003D06F9">
        <w:rPr>
          <w:rFonts w:ascii="Arial" w:hAnsi="Arial" w:cs="Arial"/>
          <w:b/>
          <w:bCs/>
          <w:szCs w:val="22"/>
        </w:rPr>
        <w:t>J</w:t>
      </w:r>
      <w:r w:rsidR="0090447A" w:rsidRPr="003D06F9">
        <w:rPr>
          <w:rFonts w:ascii="Arial" w:hAnsi="Arial" w:cs="Arial"/>
          <w:b/>
          <w:bCs/>
          <w:szCs w:val="22"/>
        </w:rPr>
        <w:t>PÚ</w:t>
      </w:r>
      <w:r w:rsidR="0090447A" w:rsidRPr="003D06F9">
        <w:rPr>
          <w:rFonts w:ascii="Arial" w:hAnsi="Arial" w:cs="Arial"/>
          <w:szCs w:val="22"/>
        </w:rPr>
        <w:t>)</w:t>
      </w:r>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1205744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w:t>
      </w:r>
      <w:r w:rsidR="00BA0402">
        <w:rPr>
          <w:rFonts w:ascii="Arial" w:hAnsi="Arial" w:cs="Arial"/>
          <w:szCs w:val="22"/>
        </w:rPr>
        <w:t xml:space="preserve"> </w:t>
      </w:r>
      <w:r w:rsidR="001F11F8">
        <w:rPr>
          <w:rFonts w:ascii="Arial" w:hAnsi="Arial" w:cs="Arial"/>
          <w:szCs w:val="22"/>
        </w:rPr>
        <w:t>příslušným</w:t>
      </w:r>
      <w:r w:rsidR="005B1E81" w:rsidRPr="00764100">
        <w:rPr>
          <w:rFonts w:ascii="Arial" w:hAnsi="Arial" w:cs="Arial"/>
          <w:szCs w:val="22"/>
        </w:rPr>
        <w:t xml:space="preserve">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32D3D109"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CD24FF8"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1F11F8">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lastRenderedPageBreak/>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1"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09E55D7"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2" w:name="_Ref137557828"/>
      <w:bookmarkEnd w:id="161"/>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1F11F8">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1F11F8">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 xml:space="preserve">Zjišťování hranic pozemků </w:t>
      </w:r>
      <w:r w:rsidR="003D4999" w:rsidRPr="00F13BD3">
        <w:rPr>
          <w:rFonts w:ascii="Arial" w:hAnsi="Arial" w:cs="Arial"/>
          <w:i/>
          <w:iCs/>
          <w:szCs w:val="22"/>
        </w:rPr>
        <w:lastRenderedPageBreak/>
        <w:t>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w:t>
      </w:r>
      <w:r w:rsidR="001F11F8">
        <w:rPr>
          <w:rFonts w:ascii="Arial" w:hAnsi="Arial" w:cs="Arial"/>
          <w:i/>
          <w:iCs/>
          <w:szCs w:val="22"/>
        </w:rPr>
        <w:t xml:space="preserve"> 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BC00CF">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2"/>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3" w:name="_Ref53644739"/>
      <w:bookmarkStart w:id="164"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3"/>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5" w:name="_Ref50750361"/>
      <w:bookmarkStart w:id="166" w:name="_Ref124842296"/>
      <w:bookmarkEnd w:id="164"/>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5"/>
      <w:bookmarkEnd w:id="166"/>
      <w:bookmarkEnd w:id="167"/>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1F0D67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1F11F8">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1F11F8">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8"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8"/>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 xml:space="preserve">Smlouvy zajistit znalecké posudky na ocenění dřevin rostoucích mimo les či ocenění věcných břemen nebo výkupu </w:t>
      </w:r>
      <w:r w:rsidRPr="000838D5">
        <w:rPr>
          <w:rFonts w:ascii="Arial" w:hAnsi="Arial" w:cs="Arial"/>
        </w:rPr>
        <w:lastRenderedPageBreak/>
        <w:t>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BC00CF">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 xml:space="preserve">zadávacím řízení s ohledem na § 37 ZZVZ a posoudí, zda v nabídce nejsou naplněny povinné důvody pro vyloučení vybraného dodavatele dle § 48 ZZVZ (dále jen „důvody, pro </w:t>
      </w:r>
      <w:r w:rsidRPr="00AE3E1B">
        <w:rPr>
          <w:rFonts w:ascii="Arial" w:hAnsi="Arial" w:cs="Arial"/>
        </w:rPr>
        <w:lastRenderedPageBreak/>
        <w:t>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9" w:name="_Ref93321339"/>
      <w:bookmarkStart w:id="170"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9"/>
      <w:r w:rsidR="0021275B" w:rsidRPr="00C62699">
        <w:rPr>
          <w:rFonts w:ascii="Arial" w:hAnsi="Arial" w:cs="Arial"/>
          <w:szCs w:val="22"/>
          <w:u w:val="single"/>
        </w:rPr>
        <w:t xml:space="preserve"> </w:t>
      </w:r>
    </w:p>
    <w:bookmarkEnd w:id="170"/>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1" w:name="_Ref370146871"/>
      <w:r w:rsidRPr="00ED6435">
        <w:rPr>
          <w:rFonts w:ascii="Arial" w:hAnsi="Arial" w:cs="Arial"/>
          <w:szCs w:val="22"/>
        </w:rPr>
        <w:t>Zhotovitel je oprávněn odstoupit od této Smlouvy pouze v případě jejího podstatného porušení, jestliže:</w:t>
      </w:r>
      <w:bookmarkEnd w:id="171"/>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2" w:name="_Ref50536468"/>
      <w:bookmarkStart w:id="173"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2"/>
      <w:r w:rsidRPr="00ED6435">
        <w:rPr>
          <w:rFonts w:ascii="Arial" w:hAnsi="Arial" w:cs="Arial"/>
          <w:szCs w:val="22"/>
        </w:rPr>
        <w:t xml:space="preserve"> Protokol musí obsahovat zejména</w:t>
      </w:r>
      <w:r w:rsidR="00F65669" w:rsidRPr="00ED6435">
        <w:rPr>
          <w:rFonts w:ascii="Arial" w:hAnsi="Arial" w:cs="Arial"/>
          <w:szCs w:val="22"/>
        </w:rPr>
        <w:t>:</w:t>
      </w:r>
      <w:bookmarkEnd w:id="173"/>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4"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w:t>
      </w:r>
      <w:r w:rsidRPr="00ED6435">
        <w:rPr>
          <w:rFonts w:ascii="Arial" w:hAnsi="Arial" w:cs="Arial"/>
          <w:szCs w:val="22"/>
        </w:rPr>
        <w:lastRenderedPageBreak/>
        <w:t xml:space="preserve">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4"/>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5" w:name="_Ref50753902"/>
      <w:bookmarkStart w:id="176" w:name="_Ref450559147"/>
      <w:bookmarkStart w:id="177" w:name="_Ref469512616"/>
      <w:bookmarkStart w:id="178" w:name="_Ref64871784"/>
      <w:bookmarkStart w:id="179"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5"/>
      <w:bookmarkEnd w:id="176"/>
      <w:bookmarkEnd w:id="177"/>
      <w:r w:rsidR="00E60FBC">
        <w:rPr>
          <w:rFonts w:ascii="Arial" w:hAnsi="Arial" w:cs="Arial"/>
          <w:szCs w:val="22"/>
        </w:rPr>
        <w:t>18.8</w:t>
      </w:r>
      <w:r w:rsidR="00A111D3" w:rsidRPr="00ED6435">
        <w:rPr>
          <w:rFonts w:ascii="Arial" w:hAnsi="Arial" w:cs="Arial"/>
          <w:szCs w:val="22"/>
        </w:rPr>
        <w:t>.</w:t>
      </w:r>
      <w:bookmarkEnd w:id="178"/>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9"/>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0" w:name="_Ref50585481"/>
      <w:r w:rsidRPr="00ED6435">
        <w:rPr>
          <w:rFonts w:ascii="Arial" w:hAnsi="Arial" w:cs="Arial"/>
          <w:szCs w:val="22"/>
        </w:rPr>
        <w:t>Závěrečná ustanovení</w:t>
      </w:r>
      <w:bookmarkEnd w:id="180"/>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1"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2"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1"/>
      <w:bookmarkEnd w:id="182"/>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3" w:name="_Hlk57980945"/>
      <w:bookmarkStart w:id="184" w:name="_Ref378752179"/>
      <w:bookmarkStart w:id="185" w:name="_Toc289800496"/>
      <w:bookmarkStart w:id="186"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3"/>
      <w:bookmarkEnd w:id="184"/>
      <w:bookmarkEnd w:id="185"/>
      <w:bookmarkEnd w:id="186"/>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7"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7"/>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5784E4A4">
        <w:rPr>
          <w:rFonts w:ascii="Arial" w:hAnsi="Arial" w:cs="Arial"/>
        </w:rPr>
        <w:lastRenderedPageBreak/>
        <w:t>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8"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8"/>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1B273E6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451B2">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3AC1FC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w:t>
      </w:r>
      <w:r w:rsidR="00E5733B">
        <w:rPr>
          <w:rFonts w:ascii="Arial" w:eastAsia="Times New Roman" w:hAnsi="Arial" w:cs="Arial"/>
          <w:bCs/>
          <w:lang w:eastAsia="cs-CZ"/>
        </w:rPr>
        <w:t xml:space="preserve"> 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460F002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E5733B">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6781C7E" w14:textId="3299B0E7" w:rsidR="00226532" w:rsidRPr="001F11F8" w:rsidRDefault="00226532" w:rsidP="001F11F8">
      <w:pPr>
        <w:spacing w:before="480"/>
        <w:rPr>
          <w:rFonts w:ascii="Arial" w:hAnsi="Arial" w:cs="Arial"/>
          <w:b/>
          <w:u w:val="single"/>
        </w:rPr>
      </w:pPr>
      <w:r w:rsidRPr="00ED6435">
        <w:rPr>
          <w:rFonts w:ascii="Arial" w:hAnsi="Arial" w:cs="Arial"/>
        </w:rPr>
        <w:br w:type="page"/>
      </w:r>
    </w:p>
    <w:p w14:paraId="5E5C298A" w14:textId="40C38EFC" w:rsidR="00F32EA7" w:rsidRPr="00ED6435" w:rsidRDefault="000E2AC4" w:rsidP="000E2AC4">
      <w:pPr>
        <w:spacing w:before="120" w:after="0" w:line="240" w:lineRule="auto"/>
        <w:jc w:val="center"/>
        <w:rPr>
          <w:rFonts w:ascii="Arial" w:hAnsi="Arial" w:cs="Arial"/>
          <w:b/>
          <w:bCs/>
        </w:rPr>
      </w:pPr>
      <w:commentRangeStart w:id="189"/>
      <w:r w:rsidRPr="00ED6435">
        <w:rPr>
          <w:rFonts w:ascii="Arial" w:hAnsi="Arial" w:cs="Arial"/>
          <w:b/>
        </w:rPr>
        <w:lastRenderedPageBreak/>
        <w:t>PŘÍLOHA Č. 2 -</w:t>
      </w:r>
      <w:r w:rsidR="008C20A4">
        <w:rPr>
          <w:rFonts w:ascii="Arial" w:hAnsi="Arial" w:cs="Arial"/>
          <w:b/>
        </w:rPr>
        <w:t xml:space="preserve"> </w:t>
      </w:r>
      <w:r w:rsidRPr="00ED6435">
        <w:rPr>
          <w:rFonts w:ascii="Arial" w:hAnsi="Arial" w:cs="Arial"/>
          <w:b/>
          <w:bCs/>
        </w:rPr>
        <w:t>METODICKÝ POSTUP K ZAJIŠTĚNÍ BEZPEČNOSTI PRÁCE PŘI PROVÁDĚNÍ GEODETICKÝCH PRACÍ V RÁMCI POZEMKOVÝCH ÚPRAV NA ÚZEMÍCH BÝVALÝCH VOJENSKÝCH ÚJEZDŮ (VÚJ)</w:t>
      </w:r>
      <w:commentRangeEnd w:id="189"/>
      <w:r w:rsidR="00F931B2">
        <w:rPr>
          <w:rStyle w:val="Odkaznakoment"/>
        </w:rPr>
        <w:commentReference w:id="189"/>
      </w:r>
    </w:p>
    <w:p w14:paraId="10B26DF3" w14:textId="52DF6C95" w:rsidR="00F32EA7" w:rsidRPr="00ED6435" w:rsidRDefault="00F32EA7" w:rsidP="00F32EA7">
      <w:pPr>
        <w:keepNext/>
        <w:tabs>
          <w:tab w:val="left" w:pos="9639"/>
        </w:tabs>
        <w:spacing w:before="120" w:after="0" w:line="240" w:lineRule="auto"/>
        <w:jc w:val="both"/>
        <w:rPr>
          <w:rFonts w:ascii="Arial" w:hAnsi="Arial" w:cs="Arial"/>
        </w:rPr>
      </w:pPr>
      <w:r w:rsidRPr="00ED6435">
        <w:rPr>
          <w:rFonts w:ascii="Arial" w:hAnsi="Arial" w:cs="Arial"/>
        </w:rPr>
        <w:t xml:space="preserve">V prostoru bývalého </w:t>
      </w:r>
      <w:r w:rsidR="00B25846" w:rsidRPr="00ED6435">
        <w:rPr>
          <w:rFonts w:ascii="Arial" w:hAnsi="Arial" w:cs="Arial"/>
        </w:rPr>
        <w:t>vojenského újezdu („</w:t>
      </w:r>
      <w:r w:rsidRPr="00ED6435">
        <w:rPr>
          <w:rFonts w:ascii="Arial" w:hAnsi="Arial" w:cs="Arial"/>
          <w:b/>
          <w:bCs/>
        </w:rPr>
        <w:t>VÚj</w:t>
      </w:r>
      <w:r w:rsidR="00B25846" w:rsidRPr="00ED6435">
        <w:rPr>
          <w:rFonts w:ascii="Arial" w:hAnsi="Arial" w:cs="Arial"/>
        </w:rPr>
        <w:t>“)</w:t>
      </w:r>
      <w:r w:rsidRPr="00ED6435">
        <w:rPr>
          <w:rFonts w:ascii="Arial" w:hAnsi="Arial" w:cs="Arial"/>
        </w:rPr>
        <w:t xml:space="preserve"> se může pod povrchem terénu nacházet nespecifikované množství munice a muničních elementů. Ty mohou vlivem povětrnostní, geologické nebo přirozené činnosti lesní zvěře vystupovat na povrch, proto je nezbytné počítat s rizikem nálezu nevybuchlé munice při jakékoliv činnosti v tomto prostoru a dbát zvýšené opatrnosti. </w:t>
      </w:r>
    </w:p>
    <w:p w14:paraId="2830BC73" w14:textId="77777777" w:rsidR="00F32EA7" w:rsidRPr="00ED6435" w:rsidRDefault="00F32EA7" w:rsidP="00F32EA7">
      <w:pPr>
        <w:spacing w:before="120" w:after="0" w:line="240" w:lineRule="auto"/>
        <w:jc w:val="both"/>
        <w:rPr>
          <w:rFonts w:ascii="Arial" w:hAnsi="Arial" w:cs="Arial"/>
        </w:rPr>
      </w:pPr>
      <w:r w:rsidRPr="00ED6435">
        <w:rPr>
          <w:rFonts w:ascii="Arial" w:hAnsi="Arial" w:cs="Arial"/>
        </w:rPr>
        <w:t>Při všech činnostech souvisejících zejména s prováděním zemních prací, úpravou povrchu nebo jiných obdobných prací je proto nezbytné dodržovat následující postup:</w:t>
      </w:r>
    </w:p>
    <w:p w14:paraId="70BA51F4" w14:textId="36909F98"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 xml:space="preserve">v rámci plánování veškerých prací v prostoru bývalého vojenského prostoru je nezbytné nejprve v dostatečném časovém předstihu (minimálně </w:t>
      </w:r>
      <w:r w:rsidR="00B25846" w:rsidRPr="00ED6435">
        <w:rPr>
          <w:rFonts w:ascii="Arial" w:hAnsi="Arial" w:cs="Arial"/>
        </w:rPr>
        <w:t>jeden (</w:t>
      </w:r>
      <w:r w:rsidRPr="00ED6435">
        <w:rPr>
          <w:rFonts w:ascii="Arial" w:hAnsi="Arial" w:cs="Arial"/>
        </w:rPr>
        <w:t>1</w:t>
      </w:r>
      <w:r w:rsidR="00B25846" w:rsidRPr="00ED6435">
        <w:rPr>
          <w:rFonts w:ascii="Arial" w:hAnsi="Arial" w:cs="Arial"/>
        </w:rPr>
        <w:t>)</w:t>
      </w:r>
      <w:r w:rsidRPr="00ED6435">
        <w:rPr>
          <w:rFonts w:ascii="Arial" w:hAnsi="Arial" w:cs="Arial"/>
        </w:rPr>
        <w:t xml:space="preserve"> měsíc předem) zabezpečit součinnost s Oddělením ženijního vojska Sekce rozvoje sil Ministerstva obrany, a to za účelem posouzení charakteru plánovaných prací a v případě potřeby též vyžádání pyrotechnického průzkumu;</w:t>
      </w:r>
    </w:p>
    <w:p w14:paraId="36E6F71A" w14:textId="02EB21FF"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 xml:space="preserve"> žádost o součinnost musí obsahovat</w:t>
      </w:r>
      <w:r w:rsidR="00B25846" w:rsidRPr="00ED6435">
        <w:rPr>
          <w:rFonts w:ascii="Arial" w:hAnsi="Arial" w:cs="Arial"/>
        </w:rPr>
        <w:t xml:space="preserve"> zejména</w:t>
      </w:r>
      <w:r w:rsidRPr="00ED6435">
        <w:rPr>
          <w:rFonts w:ascii="Arial" w:hAnsi="Arial" w:cs="Arial"/>
        </w:rPr>
        <w:t>:</w:t>
      </w:r>
    </w:p>
    <w:p w14:paraId="55A264DB"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druh prací s důrazem na to, zda jejich součástí budou i zemní práce (vydefinovat charakter těchto prací);</w:t>
      </w:r>
    </w:p>
    <w:p w14:paraId="5203F92E" w14:textId="77777777"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 xml:space="preserve">předmětný prostor definovat v souřadnicích; </w:t>
      </w:r>
    </w:p>
    <w:p w14:paraId="7D7B2875" w14:textId="7FD359BD" w:rsidR="00F32EA7" w:rsidRPr="00ED6435" w:rsidRDefault="00F32EA7" w:rsidP="00024EBF">
      <w:pPr>
        <w:pStyle w:val="Odstavecseseznamem"/>
        <w:numPr>
          <w:ilvl w:val="2"/>
          <w:numId w:val="48"/>
        </w:numPr>
        <w:spacing w:after="0" w:line="240" w:lineRule="auto"/>
        <w:ind w:left="1077" w:hanging="357"/>
        <w:contextualSpacing w:val="0"/>
        <w:jc w:val="both"/>
        <w:rPr>
          <w:rFonts w:ascii="Arial" w:hAnsi="Arial" w:cs="Arial"/>
        </w:rPr>
      </w:pPr>
      <w:r w:rsidRPr="00ED6435">
        <w:rPr>
          <w:rFonts w:ascii="Arial" w:hAnsi="Arial" w:cs="Arial"/>
        </w:rPr>
        <w:t>definovat jednotlivé plochy vyžadující pyrotechnický průzkum včetně předpokládané hloubky zásahu do půdy;</w:t>
      </w:r>
      <w:r w:rsidR="00B25846" w:rsidRPr="00ED6435">
        <w:rPr>
          <w:rFonts w:ascii="Arial" w:hAnsi="Arial" w:cs="Arial"/>
        </w:rPr>
        <w:t xml:space="preserve"> a</w:t>
      </w:r>
    </w:p>
    <w:p w14:paraId="78CC0D08" w14:textId="160F5651" w:rsidR="00F32EA7" w:rsidRPr="00ED6435" w:rsidRDefault="00F32EA7" w:rsidP="00024EBF">
      <w:pPr>
        <w:pStyle w:val="Odstavecseseznamem"/>
        <w:numPr>
          <w:ilvl w:val="2"/>
          <w:numId w:val="48"/>
        </w:numPr>
        <w:spacing w:after="120" w:line="240" w:lineRule="auto"/>
        <w:ind w:left="1077" w:hanging="357"/>
        <w:contextualSpacing w:val="0"/>
        <w:jc w:val="both"/>
        <w:rPr>
          <w:rFonts w:ascii="Arial" w:hAnsi="Arial" w:cs="Arial"/>
        </w:rPr>
      </w:pPr>
      <w:r w:rsidRPr="00ED6435">
        <w:rPr>
          <w:rFonts w:ascii="Arial" w:hAnsi="Arial" w:cs="Arial"/>
        </w:rPr>
        <w:t>kontaktní údaje (osoba, spojení).</w:t>
      </w:r>
    </w:p>
    <w:p w14:paraId="471CE7EA"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pyrotechnický průzkum (pyrotechnický dozor) vyžadovat vždy před prováděním zemních, stavebních nebo demoličních prací, tj. při každém zásahu do hloubky půdy. V případě trvalé stabilizace jednotlivých bodů hranic, tzn. nutnosti zemních prací, oznámit přesné souřadnice každého bodu určeného ke stabilizaci, přičemž délka stabilizované hranice by měla být min. 4 km;</w:t>
      </w:r>
    </w:p>
    <w:p w14:paraId="3AF9C729" w14:textId="77777777"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(není-li vojenský pyrotechnik na místě) neprodleně kontaktovat příslušné orgány (viz níže uvedené kontaktní údaje), které provedou likvidaci (zničení) nalezené munice a následně je bezpodmínečně nutné řídit se jejich pokyny:</w:t>
      </w:r>
    </w:p>
    <w:p w14:paraId="1B5A50DB" w14:textId="2CE00708" w:rsidR="00F32EA7" w:rsidRPr="00ED6435" w:rsidRDefault="00F32EA7" w:rsidP="00024EBF">
      <w:pPr>
        <w:pStyle w:val="Odstavecseseznamem"/>
        <w:numPr>
          <w:ilvl w:val="0"/>
          <w:numId w:val="47"/>
        </w:numPr>
        <w:spacing w:after="0" w:line="240" w:lineRule="auto"/>
        <w:contextualSpacing w:val="0"/>
        <w:jc w:val="both"/>
        <w:rPr>
          <w:rFonts w:ascii="Arial" w:hAnsi="Arial" w:cs="Arial"/>
          <w:b/>
          <w:bCs/>
        </w:rPr>
      </w:pPr>
      <w:r w:rsidRPr="00ED6435">
        <w:rPr>
          <w:rFonts w:ascii="Arial" w:hAnsi="Arial" w:cs="Arial"/>
          <w:b/>
          <w:bCs/>
        </w:rPr>
        <w:t>pyrotechnická pohotovostní skupina Vojenské policie:</w:t>
      </w:r>
      <w:r w:rsidRPr="00ED6435">
        <w:rPr>
          <w:rFonts w:ascii="Arial" w:hAnsi="Arial" w:cs="Arial"/>
          <w:b/>
          <w:bCs/>
        </w:rPr>
        <w:tab/>
      </w:r>
      <w:r w:rsidRPr="00ED6435">
        <w:rPr>
          <w:rFonts w:ascii="Arial" w:hAnsi="Arial" w:cs="Arial"/>
          <w:b/>
          <w:bCs/>
        </w:rPr>
        <w:br/>
        <w:t>tel.: bude upřesněno před podpisem smlouvy</w:t>
      </w:r>
    </w:p>
    <w:p w14:paraId="72DC96AE" w14:textId="77777777" w:rsidR="00F32EA7" w:rsidRPr="00ED6435" w:rsidRDefault="00F32EA7" w:rsidP="00F32EA7">
      <w:pPr>
        <w:spacing w:after="120" w:line="240" w:lineRule="auto"/>
        <w:ind w:left="296" w:firstLine="708"/>
        <w:jc w:val="both"/>
        <w:rPr>
          <w:rFonts w:ascii="Arial" w:hAnsi="Arial" w:cs="Arial"/>
          <w:b/>
          <w:bCs/>
        </w:rPr>
      </w:pPr>
      <w:r w:rsidRPr="00ED6435">
        <w:rPr>
          <w:rFonts w:ascii="Arial" w:hAnsi="Arial" w:cs="Arial"/>
          <w:b/>
          <w:bCs/>
        </w:rPr>
        <w:t>mob.: bude upřesněno před podpisem smlouvy</w:t>
      </w:r>
    </w:p>
    <w:p w14:paraId="138D8919" w14:textId="243284CC" w:rsidR="00F32EA7" w:rsidRPr="00ED6435" w:rsidRDefault="00F32EA7" w:rsidP="00024EBF">
      <w:pPr>
        <w:pStyle w:val="Odstavecseseznamem"/>
        <w:numPr>
          <w:ilvl w:val="0"/>
          <w:numId w:val="47"/>
        </w:numPr>
        <w:spacing w:after="120" w:line="240" w:lineRule="auto"/>
        <w:contextualSpacing w:val="0"/>
        <w:jc w:val="both"/>
        <w:rPr>
          <w:rFonts w:ascii="Arial" w:hAnsi="Arial" w:cs="Arial"/>
          <w:b/>
          <w:bCs/>
        </w:rPr>
      </w:pPr>
      <w:r w:rsidRPr="00ED6435">
        <w:rPr>
          <w:rFonts w:ascii="Arial" w:hAnsi="Arial" w:cs="Arial"/>
          <w:b/>
          <w:bCs/>
        </w:rPr>
        <w:t>Policie České republiky:</w:t>
      </w:r>
      <w:r w:rsidRPr="00ED6435">
        <w:rPr>
          <w:rFonts w:ascii="Arial" w:hAnsi="Arial" w:cs="Arial"/>
          <w:b/>
          <w:bCs/>
        </w:rPr>
        <w:tab/>
        <w:t xml:space="preserve"> 158 (v případě nemožnosti kontaktovat </w:t>
      </w:r>
      <w:r w:rsidR="00BE16A9" w:rsidRPr="00ED6435">
        <w:rPr>
          <w:rFonts w:ascii="Arial" w:hAnsi="Arial" w:cs="Arial"/>
          <w:b/>
          <w:bCs/>
        </w:rPr>
        <w:t>Vojenskou policii</w:t>
      </w:r>
      <w:r w:rsidRPr="00ED6435">
        <w:rPr>
          <w:rFonts w:ascii="Arial" w:hAnsi="Arial" w:cs="Arial"/>
          <w:b/>
          <w:bCs/>
        </w:rPr>
        <w:t xml:space="preserve">) </w:t>
      </w:r>
    </w:p>
    <w:p w14:paraId="37D14F89" w14:textId="570AF87B" w:rsidR="00F32EA7" w:rsidRPr="00ED6435" w:rsidRDefault="00F32EA7" w:rsidP="00024EBF">
      <w:pPr>
        <w:pStyle w:val="Odstavecseseznamem"/>
        <w:numPr>
          <w:ilvl w:val="0"/>
          <w:numId w:val="46"/>
        </w:numPr>
        <w:spacing w:after="120" w:line="240" w:lineRule="auto"/>
        <w:ind w:left="284" w:hanging="284"/>
        <w:contextualSpacing w:val="0"/>
        <w:jc w:val="both"/>
        <w:rPr>
          <w:rFonts w:ascii="Arial" w:hAnsi="Arial" w:cs="Arial"/>
        </w:rPr>
      </w:pPr>
      <w:r w:rsidRPr="00ED6435">
        <w:rPr>
          <w:rFonts w:ascii="Arial" w:hAnsi="Arial" w:cs="Arial"/>
        </w:rPr>
        <w:t>při nálezu munice okamžitě ukončit veškerou činnost, munice se v žádném případě nedotýkat ani s ní nijak manipulovat, viditelně označit místo nálezu (PET láhev, toaletní papír</w:t>
      </w:r>
      <w:r w:rsidR="0015753D" w:rsidRPr="00ED6435">
        <w:rPr>
          <w:rFonts w:ascii="Arial" w:hAnsi="Arial" w:cs="Arial"/>
        </w:rPr>
        <w:t>, kapesník</w:t>
      </w:r>
      <w:r w:rsidRPr="00ED6435">
        <w:rPr>
          <w:rFonts w:ascii="Arial" w:hAnsi="Arial" w:cs="Arial"/>
        </w:rPr>
        <w:t>, značkovací sprej, aj.), zapamatovat si místo nálezu, přivolat příslušné orgány viz výše a vzdálit se</w:t>
      </w:r>
      <w:r w:rsidR="00956DBD">
        <w:rPr>
          <w:rFonts w:ascii="Arial" w:hAnsi="Arial" w:cs="Arial"/>
        </w:rPr>
        <w:t> </w:t>
      </w:r>
      <w:r w:rsidRPr="00ED6435">
        <w:rPr>
          <w:rFonts w:ascii="Arial" w:hAnsi="Arial" w:cs="Arial"/>
        </w:rPr>
        <w:t xml:space="preserve">do bezpečné vzdálenosti. Dále je nezbytné zamezit přístupu jiných osob; </w:t>
      </w:r>
      <w:r w:rsidR="00B25846" w:rsidRPr="00ED6435">
        <w:rPr>
          <w:rFonts w:ascii="Arial" w:hAnsi="Arial" w:cs="Arial"/>
        </w:rPr>
        <w:t>a</w:t>
      </w:r>
    </w:p>
    <w:p w14:paraId="73E5113C" w14:textId="77777777" w:rsidR="00F32EA7" w:rsidRPr="00ED6435" w:rsidRDefault="00F32EA7" w:rsidP="00024EBF">
      <w:pPr>
        <w:pStyle w:val="Odstavecseseznamem"/>
        <w:numPr>
          <w:ilvl w:val="0"/>
          <w:numId w:val="46"/>
        </w:numPr>
        <w:spacing w:before="120" w:after="120" w:line="240" w:lineRule="auto"/>
        <w:ind w:left="284" w:hanging="284"/>
        <w:contextualSpacing w:val="0"/>
        <w:jc w:val="both"/>
        <w:rPr>
          <w:rFonts w:ascii="Arial" w:hAnsi="Arial" w:cs="Arial"/>
        </w:rPr>
      </w:pPr>
      <w:r w:rsidRPr="00ED6435">
        <w:rPr>
          <w:rFonts w:ascii="Arial" w:hAnsi="Arial" w:cs="Arial"/>
        </w:rPr>
        <w:t>vyčkat příjezdu pyrotechniků, dovést je na místo nálezu a munici jim předat.</w:t>
      </w:r>
    </w:p>
    <w:p w14:paraId="35D31C2A" w14:textId="41B1DD99" w:rsidR="00F32EA7" w:rsidRPr="00ED6435" w:rsidRDefault="00F32EA7" w:rsidP="00F32EA7">
      <w:pPr>
        <w:spacing w:before="120" w:after="120" w:line="240" w:lineRule="auto"/>
        <w:jc w:val="both"/>
        <w:rPr>
          <w:rFonts w:ascii="Arial" w:hAnsi="Arial" w:cs="Arial"/>
        </w:rPr>
      </w:pPr>
      <w:r w:rsidRPr="00ED6435">
        <w:rPr>
          <w:rFonts w:ascii="Arial" w:hAnsi="Arial" w:cs="Arial"/>
          <w:b/>
          <w:bCs/>
        </w:rPr>
        <w:t>Pozn.</w:t>
      </w:r>
      <w:r w:rsidRPr="00ED6435">
        <w:rPr>
          <w:rFonts w:ascii="Arial" w:hAnsi="Arial" w:cs="Arial"/>
        </w:rPr>
        <w:t xml:space="preserve"> V případě, že se munice nachází ve lžíci (lopatě) zemního stroje, nesnažit se munici položit na</w:t>
      </w:r>
      <w:r w:rsidR="00956DBD">
        <w:rPr>
          <w:rFonts w:ascii="Arial" w:hAnsi="Arial" w:cs="Arial"/>
        </w:rPr>
        <w:t> </w:t>
      </w:r>
      <w:r w:rsidRPr="00ED6435">
        <w:rPr>
          <w:rFonts w:ascii="Arial" w:hAnsi="Arial" w:cs="Arial"/>
        </w:rPr>
        <w:t>zem nebo přemístit jinam!!! Stroj ponechat v poloze, v jaké byla munice spatřena.</w:t>
      </w:r>
    </w:p>
    <w:p w14:paraId="3D3AE081" w14:textId="67D6DCD7" w:rsidR="00B3745E" w:rsidRPr="00ED6435" w:rsidRDefault="00F32EA7" w:rsidP="00B25846">
      <w:pPr>
        <w:spacing w:before="120" w:after="120" w:line="240" w:lineRule="auto"/>
        <w:jc w:val="both"/>
        <w:rPr>
          <w:rFonts w:ascii="Arial" w:hAnsi="Arial" w:cs="Arial"/>
        </w:rPr>
      </w:pPr>
      <w:r w:rsidRPr="00ED6435">
        <w:rPr>
          <w:rFonts w:ascii="Arial" w:hAnsi="Arial" w:cs="Arial"/>
        </w:rPr>
        <w:t>Před zahájením vlastních geodetických prací v terénu v rámci řešení pozemkových úprav na území bývalých VÚj zabezpečí Armáda ČR na základě dohovoru informativní školení pracovníků geodetických firem, které budou tyto práce v daném prostoru vykonávat.</w:t>
      </w:r>
    </w:p>
    <w:sectPr w:rsidR="00B3745E"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9" w:author="Větrovec Zdeněk" w:date="2024-05-22T15:09:00Z" w:initials="VZ">
    <w:p w14:paraId="38316062" w14:textId="77777777" w:rsidR="00F931B2" w:rsidRDefault="00F931B2" w:rsidP="00C95F71">
      <w:pPr>
        <w:pStyle w:val="Textkomente"/>
      </w:pPr>
      <w:r>
        <w:rPr>
          <w:rStyle w:val="Odkaznakoment"/>
        </w:rPr>
        <w:annotationRef/>
      </w:r>
      <w:r>
        <w:t xml:space="preserve">Někde výše není KPÚ. </w:t>
      </w:r>
    </w:p>
  </w:comment>
  <w:comment w:id="189" w:author="Větrovec Zdeněk" w:date="2024-05-22T15:13:00Z" w:initials="VZ">
    <w:p w14:paraId="3DAD3E33" w14:textId="77777777" w:rsidR="00F931B2" w:rsidRDefault="00F931B2" w:rsidP="002D7A48">
      <w:pPr>
        <w:pStyle w:val="Textkomente"/>
      </w:pPr>
      <w:r>
        <w:rPr>
          <w:rStyle w:val="Odkaznakoment"/>
        </w:rPr>
        <w:annotationRef/>
      </w:r>
      <w:r>
        <w:t>To sem asi nepatří.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8316062" w15:done="0"/>
  <w15:commentEx w15:paraId="3DAD3E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8892A" w16cex:dateUtc="2024-05-22T13:09:00Z"/>
  <w16cex:commentExtensible w16cex:durableId="29F88A2C" w16cex:dateUtc="2024-05-22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316062" w16cid:durableId="29F8892A"/>
  <w16cid:commentId w16cid:paraId="3DAD3E33" w16cid:durableId="29F88A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64BC9" w14:textId="77777777" w:rsidR="008B3C5F" w:rsidRDefault="008B3C5F" w:rsidP="007936E4">
      <w:pPr>
        <w:spacing w:after="0"/>
      </w:pPr>
      <w:r>
        <w:separator/>
      </w:r>
    </w:p>
  </w:endnote>
  <w:endnote w:type="continuationSeparator" w:id="0">
    <w:p w14:paraId="066C961D" w14:textId="77777777" w:rsidR="008B3C5F" w:rsidRDefault="008B3C5F" w:rsidP="007936E4">
      <w:pPr>
        <w:spacing w:after="0"/>
      </w:pPr>
      <w:r>
        <w:continuationSeparator/>
      </w:r>
    </w:p>
  </w:endnote>
  <w:endnote w:type="continuationNotice" w:id="1">
    <w:p w14:paraId="16B8F5C4" w14:textId="77777777" w:rsidR="008B3C5F" w:rsidRDefault="008B3C5F"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5F86B" w14:textId="77777777" w:rsidR="008B3C5F" w:rsidRDefault="008B3C5F" w:rsidP="007936E4">
      <w:pPr>
        <w:spacing w:after="0"/>
      </w:pPr>
      <w:r>
        <w:separator/>
      </w:r>
    </w:p>
  </w:footnote>
  <w:footnote w:type="continuationSeparator" w:id="0">
    <w:p w14:paraId="54AD460A" w14:textId="77777777" w:rsidR="008B3C5F" w:rsidRDefault="008B3C5F" w:rsidP="007936E4">
      <w:pPr>
        <w:spacing w:after="0"/>
      </w:pPr>
      <w:r>
        <w:continuationSeparator/>
      </w:r>
    </w:p>
  </w:footnote>
  <w:footnote w:type="continuationNotice" w:id="1">
    <w:p w14:paraId="328A6709" w14:textId="77777777" w:rsidR="008B3C5F" w:rsidRDefault="008B3C5F"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30712C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162919">
      <w:rPr>
        <w:szCs w:val="16"/>
      </w:rPr>
      <w:t>Jednoduché pozemkové úpravy</w:t>
    </w:r>
    <w:r w:rsidR="00D25791">
      <w:rPr>
        <w:szCs w:val="16"/>
      </w:rPr>
      <w:t xml:space="preserve"> Žichov, Lužice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D0FCE5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6424D4">
      <w:rPr>
        <w:rFonts w:cs="Arial"/>
        <w:szCs w:val="16"/>
        <w:lang w:val="fr-FR" w:eastAsia="cs-CZ"/>
      </w:rPr>
      <w:t>J</w:t>
    </w:r>
    <w:r w:rsidR="00162919">
      <w:rPr>
        <w:rFonts w:cs="Arial"/>
        <w:szCs w:val="16"/>
        <w:lang w:val="fr-FR" w:eastAsia="cs-CZ"/>
      </w:rPr>
      <w:t xml:space="preserve">ednoduché pozemkové úpravy </w:t>
    </w:r>
    <w:r w:rsidR="006424D4">
      <w:rPr>
        <w:rFonts w:cs="Arial"/>
        <w:szCs w:val="16"/>
        <w:lang w:val="fr-FR" w:eastAsia="cs-CZ"/>
      </w:rPr>
      <w:t>Žichov</w:t>
    </w:r>
    <w:r w:rsidR="00D25791">
      <w:rPr>
        <w:rFonts w:cs="Arial"/>
        <w:szCs w:val="16"/>
        <w:lang w:val="fr-FR" w:eastAsia="cs-CZ"/>
      </w:rPr>
      <w:t>, Lužice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ětrovec Zdeněk">
    <w15:presenceInfo w15:providerId="AD" w15:userId="S::z.vetrovec@spucr.cz::39172d1b-9c63-43d3-9e53-dd7e3642d1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3750"/>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919"/>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1F8"/>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1CF9"/>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6F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337B"/>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24D4"/>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C5F"/>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C02"/>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51B2"/>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0402"/>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0CF"/>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0145"/>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791"/>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CF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33B"/>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1B2"/>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00CF"/>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C00C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C00C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36</Pages>
  <Words>16823</Words>
  <Characters>99259</Characters>
  <Application>Microsoft Office Word</Application>
  <DocSecurity>0</DocSecurity>
  <Lines>827</Lines>
  <Paragraphs>231</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Balcárková Soňa Ing.</cp:lastModifiedBy>
  <cp:revision>9</cp:revision>
  <cp:lastPrinted>2023-09-08T11:21:00Z</cp:lastPrinted>
  <dcterms:created xsi:type="dcterms:W3CDTF">2024-05-21T09:18:00Z</dcterms:created>
  <dcterms:modified xsi:type="dcterms:W3CDTF">2024-05-23T07:10:00Z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